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867"/>
          <w:tab w:val="left" w:leader="none" w:pos="8491"/>
        </w:tabs>
        <w:spacing w:after="0" w:lineRule="auto"/>
        <w:jc w:val="both"/>
        <w:rPr>
          <w:rFonts w:ascii="Times New Roman" w:cs="Times New Roman" w:eastAsia="Times New Roman" w:hAnsi="Times New Roman"/>
          <w:sz w:val="30"/>
          <w:szCs w:val="30"/>
          <w:vertAlign w:val="superscript"/>
        </w:rPr>
        <w:sectPr>
          <w:footerReference r:id="rId6" w:type="default"/>
          <w:pgSz w:h="16838" w:w="11906" w:orient="portrait"/>
          <w:pgMar w:bottom="1417" w:top="1417" w:left="1417" w:right="1417" w:header="708" w:footer="708"/>
          <w:pgNumType w:start="1"/>
        </w:sectPr>
      </w:pPr>
      <w:r w:rsidDel="00000000" w:rsidR="00000000" w:rsidRPr="00000000">
        <w:rPr>
          <w:rFonts w:ascii="Times New Roman" w:cs="Times New Roman" w:eastAsia="Times New Roman" w:hAnsi="Times New Roman"/>
          <w:sz w:val="30"/>
          <w:szCs w:val="30"/>
          <w:vertAlign w:val="superscript"/>
        </w:rPr>
        <w:drawing>
          <wp:inline distB="0" distT="0" distL="0" distR="0">
            <wp:extent cx="761304" cy="620268"/>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761304" cy="620268"/>
                    </a:xfrm>
                    <a:prstGeom prst="rect"/>
                    <a:ln/>
                  </pic:spPr>
                </pic:pic>
              </a:graphicData>
            </a:graphic>
          </wp:inline>
        </w:drawing>
      </w:r>
      <w:r w:rsidDel="00000000" w:rsidR="00000000" w:rsidRPr="00000000">
        <w:rPr>
          <w:rFonts w:ascii="Times New Roman" w:cs="Times New Roman" w:eastAsia="Times New Roman" w:hAnsi="Times New Roman"/>
          <w:sz w:val="18"/>
          <w:szCs w:val="18"/>
          <w:rtl w:val="0"/>
        </w:rPr>
        <w:t xml:space="preserve">                                                      </w:t>
        <w:tab/>
        <w:t xml:space="preserve">                                                          </w:t>
      </w:r>
      <w:r w:rsidDel="00000000" w:rsidR="00000000" w:rsidRPr="00000000">
        <w:rPr>
          <w:rFonts w:ascii="Times New Roman" w:cs="Times New Roman" w:eastAsia="Times New Roman" w:hAnsi="Times New Roman"/>
          <w:sz w:val="30"/>
          <w:szCs w:val="30"/>
          <w:vertAlign w:val="superscript"/>
        </w:rPr>
        <w:drawing>
          <wp:inline distB="0" distT="0" distL="0" distR="0">
            <wp:extent cx="1040160" cy="340317"/>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40160" cy="340317"/>
                    </a:xfrm>
                    <a:prstGeom prst="rect"/>
                    <a:ln/>
                  </pic:spPr>
                </pic:pic>
              </a:graphicData>
            </a:graphic>
          </wp:inline>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2216150</wp:posOffset>
            </wp:positionH>
            <wp:positionV relativeFrom="paragraph">
              <wp:posOffset>219075</wp:posOffset>
            </wp:positionV>
            <wp:extent cx="1235075" cy="401320"/>
            <wp:effectExtent b="0" l="0" r="0" t="0"/>
            <wp:wrapNone/>
            <wp:docPr id="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235075" cy="401320"/>
                    </a:xfrm>
                    <a:prstGeom prst="rect"/>
                    <a:ln/>
                  </pic:spPr>
                </pic:pic>
              </a:graphicData>
            </a:graphic>
          </wp:anchor>
        </w:drawing>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120" w:line="259" w:lineRule="auto"/>
        <w:jc w:val="center"/>
        <w:rPr>
          <w:rFonts w:ascii="Times New Roman" w:cs="Times New Roman" w:eastAsia="Times New Roman" w:hAnsi="Times New Roman"/>
          <w:b w:val="1"/>
          <w:sz w:val="24"/>
          <w:szCs w:val="24"/>
        </w:rPr>
      </w:pPr>
      <w:bookmarkStart w:colFirst="0" w:colLast="0" w:name="_femkxdifuniw" w:id="0"/>
      <w:bookmarkEnd w:id="0"/>
      <w:r w:rsidDel="00000000" w:rsidR="00000000" w:rsidRPr="00000000">
        <w:rPr>
          <w:rFonts w:ascii="Times New Roman" w:cs="Times New Roman" w:eastAsia="Times New Roman" w:hAnsi="Times New Roman"/>
          <w:b w:val="1"/>
          <w:sz w:val="24"/>
          <w:szCs w:val="24"/>
          <w:rtl w:val="0"/>
        </w:rPr>
        <w:t xml:space="preserve">KENTBİLİM</w:t>
      </w:r>
    </w:p>
    <w:p w:rsidR="00000000" w:rsidDel="00000000" w:rsidP="00000000" w:rsidRDefault="00000000" w:rsidRPr="00000000" w14:paraId="00000004">
      <w:pPr>
        <w:spacing w:after="12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LİSANSÜSTÜ ARAŞTIRMA DESTEĞİ PROGRAMI </w:t>
      </w:r>
    </w:p>
    <w:p w:rsidR="00000000" w:rsidDel="00000000" w:rsidP="00000000" w:rsidRDefault="00000000" w:rsidRPr="00000000" w14:paraId="00000005">
      <w:pPr>
        <w:spacing w:after="12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UYGULAMA KILAVUZU</w:t>
      </w:r>
    </w:p>
    <w:p w:rsidR="00000000" w:rsidDel="00000000" w:rsidP="00000000" w:rsidRDefault="00000000" w:rsidRPr="00000000" w14:paraId="00000006">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numPr>
          <w:ilvl w:val="0"/>
          <w:numId w:val="6"/>
        </w:numPr>
        <w:spacing w:after="0" w:line="259" w:lineRule="auto"/>
        <w:ind w:left="0"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AMAÇ</w:t>
      </w:r>
    </w:p>
    <w:p w:rsidR="00000000" w:rsidDel="00000000" w:rsidP="00000000" w:rsidRDefault="00000000" w:rsidRPr="00000000" w14:paraId="00000008">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Kocaeli Kent Konseyi tarafından yürütülecek Lisansüstü Araştırma Desteği, Türkiye’deki üniversitelerde tez ve araştırma makalesi çalışmalarını </w:t>
      </w:r>
      <w:r w:rsidDel="00000000" w:rsidR="00000000" w:rsidRPr="00000000">
        <w:rPr>
          <w:rFonts w:ascii="Times New Roman" w:cs="Times New Roman" w:eastAsia="Times New Roman" w:hAnsi="Times New Roman"/>
          <w:b w:val="1"/>
          <w:sz w:val="24"/>
          <w:szCs w:val="24"/>
          <w:rtl w:val="0"/>
        </w:rPr>
        <w:t xml:space="preserve">Kocaeli ölçeğinde</w:t>
      </w:r>
      <w:r w:rsidDel="00000000" w:rsidR="00000000" w:rsidRPr="00000000">
        <w:rPr>
          <w:rFonts w:ascii="Times New Roman" w:cs="Times New Roman" w:eastAsia="Times New Roman" w:hAnsi="Times New Roman"/>
          <w:sz w:val="24"/>
          <w:szCs w:val="24"/>
          <w:rtl w:val="0"/>
        </w:rPr>
        <w:t xml:space="preserve"> yürüten ve kent ihtiyaçlarına yönelik öneriler geliştiren araştırmacılara araştırma süreçlerinde belirlenen tutarlarda nakdi destek sağlamayı amaçlamaktadır.</w:t>
      </w:r>
    </w:p>
    <w:p w:rsidR="00000000" w:rsidDel="00000000" w:rsidP="00000000" w:rsidRDefault="00000000" w:rsidRPr="00000000" w14:paraId="00000009">
      <w:pPr>
        <w:numPr>
          <w:ilvl w:val="0"/>
          <w:numId w:val="6"/>
        </w:numPr>
        <w:spacing w:after="0" w:line="259" w:lineRule="auto"/>
        <w:ind w:left="0"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KAPSAM</w:t>
      </w:r>
    </w:p>
    <w:p w:rsidR="00000000" w:rsidDel="00000000" w:rsidP="00000000" w:rsidRDefault="00000000" w:rsidRPr="00000000" w14:paraId="0000000A">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Türkiye’deki üniversitelerde tez ve araştırma makalesi çalışmalarını Kocaeli ölçeğinde; kültür sanat turizm, kadın aile çocuk engelliler, gençlik spor, eğitim bilim, teknoloji akıllı şehir inovasyon, çevre tarım, şehircilik altyapı, sivil toplum katılımcı yönetim, medya iletişim, sanayi ekonomi istihdam, afet yönetimi, ulaşım, sürdürülebilirlik, kent sosyolojisi olmak üzere 14 tema çerçevesinde yürüten 10 doktora, 20 yüksek lisans öğrencisini ve 30 makale araştırmacısını kapsamaktadır.</w:t>
      </w:r>
    </w:p>
    <w:p w:rsidR="00000000" w:rsidDel="00000000" w:rsidP="00000000" w:rsidRDefault="00000000" w:rsidRPr="00000000" w14:paraId="0000000B">
      <w:pPr>
        <w:numPr>
          <w:ilvl w:val="0"/>
          <w:numId w:val="6"/>
        </w:numPr>
        <w:spacing w:after="0" w:line="259" w:lineRule="auto"/>
        <w:ind w:left="0"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DAYANAK</w:t>
      </w:r>
    </w:p>
    <w:p w:rsidR="00000000" w:rsidDel="00000000" w:rsidP="00000000" w:rsidRDefault="00000000" w:rsidRPr="00000000" w14:paraId="0000000C">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- 5393 Sayılı Belediye Kanunu’nun 75. Maddesinin a,b,c fıkraları ve 14. Maddesinin a fıkrası</w:t>
      </w:r>
    </w:p>
    <w:p w:rsidR="00000000" w:rsidDel="00000000" w:rsidP="00000000" w:rsidRDefault="00000000" w:rsidRPr="00000000" w14:paraId="0000000D">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Kocaeli Büyükşehir Belediyesi Strateji Geliştirme Dairesi Başkanlığı Görev, Sorumluluk ve Yetki Esasları Yönetmeliği</w:t>
      </w:r>
    </w:p>
    <w:p w:rsidR="00000000" w:rsidDel="00000000" w:rsidP="00000000" w:rsidRDefault="00000000" w:rsidRPr="00000000" w14:paraId="0000000E">
      <w:pPr>
        <w:numPr>
          <w:ilvl w:val="0"/>
          <w:numId w:val="6"/>
        </w:numPr>
        <w:spacing w:after="0" w:before="120" w:line="360" w:lineRule="auto"/>
        <w:ind w:left="0"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BAŞVURU ŞARTLARI</w:t>
      </w:r>
    </w:p>
    <w:p w:rsidR="00000000" w:rsidDel="00000000" w:rsidP="00000000" w:rsidRDefault="00000000" w:rsidRPr="00000000" w14:paraId="0000000F">
      <w:pPr>
        <w:numPr>
          <w:ilvl w:val="0"/>
          <w:numId w:val="3"/>
        </w:numPr>
        <w:spacing w:after="0" w:line="259"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Lisansüstü tez ve araştırma makalesi çalışmaları Kocaeli’de bulunan kültür sanat turizm, kadın aile çocuk engelliler, gençlik spor, eğitim bilim, teknoloji akıllı şehir inovasyon, çevre tarım, şehircilik altyapı, sivil toplum katılımcı yönetim, medya iletişim, sanayi ekonomi istihdam, afet yönetimi, ulaşım, sürdürülebilirlik, kent sosyolojisi temaları çerçevesinde belirlenen alanlarda ve </w:t>
      </w:r>
      <w:r w:rsidDel="00000000" w:rsidR="00000000" w:rsidRPr="00000000">
        <w:rPr>
          <w:rFonts w:ascii="Times New Roman" w:cs="Times New Roman" w:eastAsia="Times New Roman" w:hAnsi="Times New Roman"/>
          <w:b w:val="1"/>
          <w:sz w:val="24"/>
          <w:szCs w:val="24"/>
          <w:rtl w:val="0"/>
        </w:rPr>
        <w:t xml:space="preserve">Kocaeli ölçeğinde</w:t>
      </w:r>
      <w:r w:rsidDel="00000000" w:rsidR="00000000" w:rsidRPr="00000000">
        <w:rPr>
          <w:rFonts w:ascii="Times New Roman" w:cs="Times New Roman" w:eastAsia="Times New Roman" w:hAnsi="Times New Roman"/>
          <w:sz w:val="24"/>
          <w:szCs w:val="24"/>
          <w:rtl w:val="0"/>
        </w:rPr>
        <w:t xml:space="preserve"> yapılmalıdır.</w:t>
      </w:r>
    </w:p>
    <w:p w:rsidR="00000000" w:rsidDel="00000000" w:rsidP="00000000" w:rsidRDefault="00000000" w:rsidRPr="00000000" w14:paraId="00000010">
      <w:pPr>
        <w:numPr>
          <w:ilvl w:val="0"/>
          <w:numId w:val="3"/>
        </w:numPr>
        <w:spacing w:after="120" w:line="259" w:lineRule="auto"/>
        <w:ind w:left="284" w:hanging="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Araştırmacıların (yüksek lisans ve doktora öğrencilerinin) tez konusu, 2025/2026 Güz döneminde </w:t>
      </w:r>
      <w:r w:rsidDel="00000000" w:rsidR="00000000" w:rsidRPr="00000000">
        <w:rPr>
          <w:rFonts w:ascii="Times New Roman" w:cs="Times New Roman" w:eastAsia="Times New Roman" w:hAnsi="Times New Roman"/>
          <w:b w:val="1"/>
          <w:color w:val="000000"/>
          <w:sz w:val="24"/>
          <w:szCs w:val="24"/>
          <w:rtl w:val="0"/>
        </w:rPr>
        <w:t xml:space="preserve">enstitü tarafından onaylanmış</w:t>
      </w:r>
      <w:r w:rsidDel="00000000" w:rsidR="00000000" w:rsidRPr="00000000">
        <w:rPr>
          <w:rFonts w:ascii="Times New Roman" w:cs="Times New Roman" w:eastAsia="Times New Roman" w:hAnsi="Times New Roman"/>
          <w:color w:val="000000"/>
          <w:sz w:val="24"/>
          <w:szCs w:val="24"/>
          <w:rtl w:val="0"/>
        </w:rPr>
        <w:t xml:space="preserve"> ve tez yazım sürecinde olması gerekmektedir.</w:t>
      </w:r>
    </w:p>
    <w:p w:rsidR="00000000" w:rsidDel="00000000" w:rsidP="00000000" w:rsidRDefault="00000000" w:rsidRPr="00000000" w14:paraId="00000011">
      <w:pPr>
        <w:numPr>
          <w:ilvl w:val="0"/>
          <w:numId w:val="3"/>
        </w:numPr>
        <w:spacing w:after="0" w:line="259" w:lineRule="auto"/>
        <w:ind w:left="284" w:hanging="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Araştırma makalesi desteğine 2025/2026 Güz döneminde enstitü tarafından onaylanmış ve tez yazım sürecinde olan yüksek lisans ve doktora öğrencileri ve üniversitenin akademik personeli başvuru yapabilir.</w:t>
      </w:r>
    </w:p>
    <w:p w:rsidR="00000000" w:rsidDel="00000000" w:rsidP="00000000" w:rsidRDefault="00000000" w:rsidRPr="00000000" w14:paraId="00000012">
      <w:pPr>
        <w:numPr>
          <w:ilvl w:val="0"/>
          <w:numId w:val="3"/>
        </w:numPr>
        <w:spacing w:after="0" w:line="259" w:lineRule="auto"/>
        <w:ind w:left="284" w:hanging="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Belediye ve iştiraklerinde çalışanları Lisansüstü Araştırma Desteğinden yararlanamaz. </w:t>
      </w:r>
      <w:r w:rsidDel="00000000" w:rsidR="00000000" w:rsidRPr="00000000">
        <w:rPr>
          <w:rtl w:val="0"/>
        </w:rPr>
      </w:r>
    </w:p>
    <w:p w:rsidR="00000000" w:rsidDel="00000000" w:rsidP="00000000" w:rsidRDefault="00000000" w:rsidRPr="00000000" w14:paraId="00000013">
      <w:pPr>
        <w:spacing w:after="0" w:line="259" w:lineRule="auto"/>
        <w:ind w:left="2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59" w:lineRule="auto"/>
        <w:ind w:left="2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59" w:lineRule="auto"/>
        <w:ind w:left="2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59" w:lineRule="auto"/>
        <w:ind w:left="2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59" w:lineRule="auto"/>
        <w:ind w:left="2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120" w:lineRule="auto"/>
        <w:ind w:left="-28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BAŞVURU SIRASINDA SUNULMASI GEREKEN BELGELER</w:t>
      </w:r>
    </w:p>
    <w:p w:rsidR="00000000" w:rsidDel="00000000" w:rsidP="00000000" w:rsidRDefault="00000000" w:rsidRPr="00000000" w14:paraId="00000019">
      <w:pPr>
        <w:numPr>
          <w:ilvl w:val="0"/>
          <w:numId w:val="2"/>
        </w:numPr>
        <w:spacing w:after="0" w:line="259" w:lineRule="auto"/>
        <w:ind w:left="283"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Kimlik Belgesi (Taranmış hali)</w:t>
      </w:r>
    </w:p>
    <w:p w:rsidR="00000000" w:rsidDel="00000000" w:rsidP="00000000" w:rsidRDefault="00000000" w:rsidRPr="00000000" w14:paraId="0000001A">
      <w:pPr>
        <w:numPr>
          <w:ilvl w:val="0"/>
          <w:numId w:val="2"/>
        </w:numPr>
        <w:spacing w:after="0" w:line="259" w:lineRule="auto"/>
        <w:ind w:left="283"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Başvuran öğrenciye ait bir adet fotoğraf (Taranmış hali)</w:t>
      </w:r>
    </w:p>
    <w:p w:rsidR="00000000" w:rsidDel="00000000" w:rsidP="00000000" w:rsidRDefault="00000000" w:rsidRPr="00000000" w14:paraId="0000001B">
      <w:pPr>
        <w:numPr>
          <w:ilvl w:val="0"/>
          <w:numId w:val="2"/>
        </w:numPr>
        <w:spacing w:after="0" w:line="259" w:lineRule="auto"/>
        <w:ind w:left="283"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Başvuru yapan öğrencinin kendisine ait IBAN numarası</w:t>
      </w:r>
    </w:p>
    <w:p w:rsidR="00000000" w:rsidDel="00000000" w:rsidP="00000000" w:rsidRDefault="00000000" w:rsidRPr="00000000" w14:paraId="0000001C">
      <w:pPr>
        <w:numPr>
          <w:ilvl w:val="0"/>
          <w:numId w:val="2"/>
        </w:numPr>
        <w:spacing w:after="0" w:line="259" w:lineRule="auto"/>
        <w:ind w:left="283"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Güncel Öğrenci belgesi (Bağlı olunan Yükseköğretim Kurumu öğrenci işlerinden alınan öğrenci belgesi ya da e-devlet üzerinden alınan öğrenci belgesi)</w:t>
      </w:r>
    </w:p>
    <w:p w:rsidR="00000000" w:rsidDel="00000000" w:rsidP="00000000" w:rsidRDefault="00000000" w:rsidRPr="00000000" w14:paraId="0000001D">
      <w:pPr>
        <w:numPr>
          <w:ilvl w:val="0"/>
          <w:numId w:val="2"/>
        </w:numPr>
        <w:spacing w:after="0" w:line="259" w:lineRule="auto"/>
        <w:ind w:left="283"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Güncel Transkript (Bağlı olunan yükseköğretim kurumu öğrenci işlerinden alınan onaylı (imzalı ve mühürlü) ya da e-devlet üzerinden alınan transkript belgesi)</w:t>
      </w:r>
    </w:p>
    <w:p w:rsidR="00000000" w:rsidDel="00000000" w:rsidP="00000000" w:rsidRDefault="00000000" w:rsidRPr="00000000" w14:paraId="0000001E">
      <w:pPr>
        <w:numPr>
          <w:ilvl w:val="0"/>
          <w:numId w:val="2"/>
        </w:numPr>
        <w:spacing w:after="0" w:line="259" w:lineRule="auto"/>
        <w:ind w:left="283"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Enstitü Yönetim Kurulu tarafından onaylanmış Yüksek Lisans ve/veya doktora tez önerisinin kabul edildiğini gösteren belge</w:t>
      </w:r>
    </w:p>
    <w:p w:rsidR="00000000" w:rsidDel="00000000" w:rsidP="00000000" w:rsidRDefault="00000000" w:rsidRPr="00000000" w14:paraId="0000001F">
      <w:pPr>
        <w:numPr>
          <w:ilvl w:val="0"/>
          <w:numId w:val="2"/>
        </w:numPr>
        <w:spacing w:after="0" w:line="259" w:lineRule="auto"/>
        <w:ind w:left="283"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Akademik personel için ARBİS özgeçmiş formu</w:t>
      </w:r>
    </w:p>
    <w:p w:rsidR="00000000" w:rsidDel="00000000" w:rsidP="00000000" w:rsidRDefault="00000000" w:rsidRPr="00000000" w14:paraId="00000020">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Destek almaya hak kazanan başvuru sahiplerinden Kocaeli Kent Konseyi Kentbilim Lisansüstü Araştırma Destek Programı Sözleşmesi’ni imzalamaları istenir. </w:t>
      </w:r>
    </w:p>
    <w:p w:rsidR="00000000" w:rsidDel="00000000" w:rsidP="00000000" w:rsidRDefault="00000000" w:rsidRPr="00000000" w14:paraId="00000021">
      <w:pPr>
        <w:spacing w:after="120" w:lineRule="auto"/>
        <w:ind w:left="-28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FİKRÎ VE SINAİ MÜLKİYET HAKLARI</w:t>
      </w:r>
    </w:p>
    <w:p w:rsidR="00000000" w:rsidDel="00000000" w:rsidP="00000000" w:rsidRDefault="00000000" w:rsidRPr="00000000" w14:paraId="00000022">
      <w:pP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Kocaeli Kent Konseyi tarafından desteklenen tezler ve araştırma makaleleri kapsamında yürütülen çalışmaların sonuçlarından üretilen/elde edilen tüm veri, bilgi, belge, yazılım, patent, faydalı model, buluş, ürün, tasarım, lisans, şirket oluşumu veya yayın vb. tüm unsurlar için fikri mülkiyet hakları Kocaeli Büyükşehir Belediyesi’ne, kullanım hakkı araştırmacıya aittir.</w:t>
      </w:r>
    </w:p>
    <w:p w:rsidR="00000000" w:rsidDel="00000000" w:rsidP="00000000" w:rsidRDefault="00000000" w:rsidRPr="00000000" w14:paraId="00000023">
      <w:pPr>
        <w:spacing w:after="120" w:lineRule="auto"/>
        <w:ind w:left="-28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DEĞERLENDİRME</w:t>
      </w:r>
    </w:p>
    <w:p w:rsidR="00000000" w:rsidDel="00000000" w:rsidP="00000000" w:rsidRDefault="00000000" w:rsidRPr="00000000" w14:paraId="00000024">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Değerlendirmeler iki aşamadan oluşacaktır. İlk aşamada ŞÛRA Kent Politikaları ve Araştırmaları Merkezi tarafından başvuru sırasında sunulması gereken evrakların ön değerlendirmesi yapılır. İkinci aşamada nihai kararlar Değerlendirme Kurulu tarafından yapılır.</w:t>
      </w:r>
    </w:p>
    <w:p w:rsidR="00000000" w:rsidDel="00000000" w:rsidP="00000000" w:rsidRDefault="00000000" w:rsidRPr="00000000" w14:paraId="00000025">
      <w:pPr>
        <w:numPr>
          <w:ilvl w:val="1"/>
          <w:numId w:val="1"/>
        </w:numPr>
        <w:spacing w:after="0" w:line="259" w:lineRule="auto"/>
        <w:ind w:left="283"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Tüm başvurular için gerekli belgeler ŞÛRA Kent Politikaları ve Araştırmaları Merkezi tarafından idari kontrolü değerlendirilecektir.</w:t>
      </w:r>
    </w:p>
    <w:p w:rsidR="00000000" w:rsidDel="00000000" w:rsidP="00000000" w:rsidRDefault="00000000" w:rsidRPr="00000000" w14:paraId="00000026">
      <w:pPr>
        <w:numPr>
          <w:ilvl w:val="1"/>
          <w:numId w:val="1"/>
        </w:numPr>
        <w:tabs>
          <w:tab w:val="left" w:leader="none" w:pos="284"/>
        </w:tabs>
        <w:spacing w:after="0" w:line="259" w:lineRule="auto"/>
        <w:ind w:left="283"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kapsamında destek verilecek olan tezler ve araştırma makaleleri değerlendirme kurulu tarafından değerlendirilecektir. Değerlendirme Kurulu; ŞÛRA Kent Politikaları ve Araştırmaları Merkezi kurul üyeleri, Kocaeli Büyükşehir Belediyesinde görev yapan ilgili uzmanlar, Kocaeli Kent Konseyinde ilgili meclis başkanlığı üyeleri ve alanında uzman öğretim üyelerinden oluşturulacaktır. </w:t>
      </w:r>
    </w:p>
    <w:p w:rsidR="00000000" w:rsidDel="00000000" w:rsidP="00000000" w:rsidRDefault="00000000" w:rsidRPr="00000000" w14:paraId="00000027">
      <w:pPr>
        <w:numPr>
          <w:ilvl w:val="1"/>
          <w:numId w:val="1"/>
        </w:numPr>
        <w:tabs>
          <w:tab w:val="left" w:leader="none" w:pos="284"/>
        </w:tabs>
        <w:spacing w:after="0" w:line="259" w:lineRule="auto"/>
        <w:ind w:left="283"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Sonuçlar web sitesinde ilan edilecektir.</w:t>
      </w:r>
    </w:p>
    <w:p w:rsidR="00000000" w:rsidDel="00000000" w:rsidP="00000000" w:rsidRDefault="00000000" w:rsidRPr="00000000" w14:paraId="00000028">
      <w:pPr>
        <w:numPr>
          <w:ilvl w:val="1"/>
          <w:numId w:val="1"/>
        </w:numPr>
        <w:tabs>
          <w:tab w:val="left" w:leader="none" w:pos="284"/>
        </w:tabs>
        <w:spacing w:after="0" w:line="259" w:lineRule="auto"/>
        <w:ind w:left="283"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Desteğe hak kazanan tez ve araştırma makalesi araştırmacıları, sözleşme dosyasını e-imza ile imzalayabilir. E-imza bulunmaması halinde ise sözleşmenin ıslak imzalı olarak imzalanıp, belirtilen son tarihe kadar posta veya kargo yoluyla Yenidoğan Mah. Salim Dervişoğlu Cad. Kocaeli Kongre Merkezi C Blok No:16 Sekapark 2. Etap 41100 İzmit / Kocaeli adresinde bulunan Kocaeli Kent Konseyi’ne ulaştırılması gerekmektedir.</w:t>
      </w:r>
    </w:p>
    <w:p w:rsidR="00000000" w:rsidDel="00000000" w:rsidP="00000000" w:rsidRDefault="00000000" w:rsidRPr="00000000" w14:paraId="00000029">
      <w:pPr>
        <w:tabs>
          <w:tab w:val="left" w:leader="none" w:pos="284"/>
        </w:tabs>
        <w:spacing w:after="0" w:line="259" w:lineRule="auto"/>
        <w:ind w:left="283"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numPr>
          <w:ilvl w:val="0"/>
          <w:numId w:val="1"/>
        </w:numPr>
        <w:spacing w:after="0" w:line="360" w:lineRule="auto"/>
        <w:ind w:left="7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TEZLERİN VE MAKALELERİN İZLENMESİ VE TAMAMLANMASI</w:t>
      </w:r>
    </w:p>
    <w:p w:rsidR="00000000" w:rsidDel="00000000" w:rsidP="00000000" w:rsidRDefault="00000000" w:rsidRPr="00000000" w14:paraId="0000002B">
      <w:pPr>
        <w:numPr>
          <w:ilvl w:val="0"/>
          <w:numId w:val="4"/>
        </w:numPr>
        <w:spacing w:after="0" w:line="259" w:lineRule="auto"/>
        <w:ind w:left="283"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ŞÛRA Kent Politikaları ve Araştırmaları Merkezi tarafından tez ve araştırma makalesinin takibini yapar.</w:t>
      </w:r>
    </w:p>
    <w:p w:rsidR="00000000" w:rsidDel="00000000" w:rsidP="00000000" w:rsidRDefault="00000000" w:rsidRPr="00000000" w14:paraId="0000002C">
      <w:pPr>
        <w:numPr>
          <w:ilvl w:val="0"/>
          <w:numId w:val="4"/>
        </w:numPr>
        <w:spacing w:after="0" w:line="259" w:lineRule="auto"/>
        <w:ind w:left="283"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Araştırmacı, lisansüstü tez veya araştırma makale desteğinin başlama tarihinden itibaren belirtilen dönemlerde, araştırmanın ara raporunu, doktora öğrencileri için ise tez izleme raporunu danışmanına veya enstitüye onaylatarak  </w:t>
      </w:r>
      <w:hyperlink r:id="rId10">
        <w:r w:rsidDel="00000000" w:rsidR="00000000" w:rsidRPr="00000000">
          <w:rPr>
            <w:rFonts w:ascii="Times New Roman" w:cs="Times New Roman" w:eastAsia="Times New Roman" w:hAnsi="Times New Roman"/>
            <w:color w:val="1155cc"/>
            <w:sz w:val="24"/>
            <w:szCs w:val="24"/>
            <w:u w:val="single"/>
            <w:rtl w:val="0"/>
          </w:rPr>
          <w:t xml:space="preserve">https://kentbilimportal.kocaeli.bel.tr/</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adresine yüklemesi gerekmektedir. </w:t>
      </w:r>
    </w:p>
    <w:p w:rsidR="00000000" w:rsidDel="00000000" w:rsidP="00000000" w:rsidRDefault="00000000" w:rsidRPr="00000000" w14:paraId="0000002D">
      <w:pPr>
        <w:numPr>
          <w:ilvl w:val="0"/>
          <w:numId w:val="4"/>
        </w:numPr>
        <w:spacing w:after="0" w:line="259" w:lineRule="auto"/>
        <w:ind w:left="283"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Araştırmacı, tezin sona ermesini izleyen bir ay içinde sonuç raporunu  </w:t>
      </w:r>
      <w:hyperlink r:id="rId11">
        <w:r w:rsidDel="00000000" w:rsidR="00000000" w:rsidRPr="00000000">
          <w:rPr>
            <w:rFonts w:ascii="Times New Roman" w:cs="Times New Roman" w:eastAsia="Times New Roman" w:hAnsi="Times New Roman"/>
            <w:color w:val="1155cc"/>
            <w:sz w:val="24"/>
            <w:szCs w:val="24"/>
            <w:u w:val="single"/>
            <w:rtl w:val="0"/>
          </w:rPr>
          <w:t xml:space="preserve">https://kentbilimportal.kocaeli.bel.tr/</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adresine yüklemesi gerekmektedir. </w:t>
      </w:r>
      <w:r w:rsidDel="00000000" w:rsidR="00000000" w:rsidRPr="00000000">
        <w:rPr>
          <w:rtl w:val="0"/>
        </w:rPr>
      </w:r>
    </w:p>
    <w:p w:rsidR="00000000" w:rsidDel="00000000" w:rsidP="00000000" w:rsidRDefault="00000000" w:rsidRPr="00000000" w14:paraId="0000002E">
      <w:pPr>
        <w:numPr>
          <w:ilvl w:val="0"/>
          <w:numId w:val="4"/>
        </w:numPr>
        <w:spacing w:after="0" w:line="259" w:lineRule="auto"/>
        <w:ind w:left="283"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Tezlerin süresi yüksek lisans tezleri için bir yıl, doktora tezleri için üç yıldır.</w:t>
      </w:r>
    </w:p>
    <w:p w:rsidR="00000000" w:rsidDel="00000000" w:rsidP="00000000" w:rsidRDefault="00000000" w:rsidRPr="00000000" w14:paraId="0000002F">
      <w:pPr>
        <w:numPr>
          <w:ilvl w:val="0"/>
          <w:numId w:val="4"/>
        </w:numPr>
        <w:spacing w:after="0" w:line="259" w:lineRule="auto"/>
        <w:ind w:left="283"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Araştırma makalelerin süresi altı aydır.</w:t>
      </w:r>
    </w:p>
    <w:p w:rsidR="00000000" w:rsidDel="00000000" w:rsidP="00000000" w:rsidRDefault="00000000" w:rsidRPr="00000000" w14:paraId="00000030">
      <w:pPr>
        <w:numPr>
          <w:ilvl w:val="0"/>
          <w:numId w:val="4"/>
        </w:numPr>
        <w:spacing w:after="0" w:line="259" w:lineRule="auto"/>
        <w:ind w:left="283"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Araştırmacı, bağlı olduğu üniversitenin enstitüsünden usulüne uygun olarak süre uzatımı aldığı takdirde, Kocaeli Kent Konseyine başvurarak aynı koşullarda ek süre isteyebilir. Ancak, başvurunun öncesinde son ara raporunu teslim etmiş olmalıdır. Ek süre yüksek lisans tezi ve doktora tezi için bir yılı, araştırma makalesi desteği için altı ayı geçemez. Süre uzatımı alındığı takdirde, buna ilişkin bilgiler en geç bir ay içinde Kocaeli Kent Konseyine </w:t>
      </w:r>
      <w:hyperlink r:id="rId12">
        <w:r w:rsidDel="00000000" w:rsidR="00000000" w:rsidRPr="00000000">
          <w:rPr>
            <w:rFonts w:ascii="Times New Roman" w:cs="Times New Roman" w:eastAsia="Times New Roman" w:hAnsi="Times New Roman"/>
            <w:color w:val="0563c1"/>
            <w:u w:val="single"/>
            <w:rtl w:val="0"/>
          </w:rPr>
          <w:t xml:space="preserve">kocaelikentkonseyi41@gmail.com</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adresine e-posta ile sunulur.</w:t>
      </w:r>
    </w:p>
    <w:p w:rsidR="00000000" w:rsidDel="00000000" w:rsidP="00000000" w:rsidRDefault="00000000" w:rsidRPr="00000000" w14:paraId="00000031">
      <w:pPr>
        <w:numPr>
          <w:ilvl w:val="0"/>
          <w:numId w:val="4"/>
        </w:numPr>
        <w:spacing w:after="0" w:line="259" w:lineRule="auto"/>
        <w:ind w:left="283"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Tamamlanan araştırma makaleleri, araştırmacı tarafından talep edilmesi halinde ŞÛRA Akademi Kent Araştırmaları Dergisi’nde yayınlanacaktır.</w:t>
      </w:r>
    </w:p>
    <w:p w:rsidR="00000000" w:rsidDel="00000000" w:rsidP="00000000" w:rsidRDefault="00000000" w:rsidRPr="00000000" w14:paraId="00000032">
      <w:pPr>
        <w:numPr>
          <w:ilvl w:val="0"/>
          <w:numId w:val="4"/>
        </w:numPr>
        <w:tabs>
          <w:tab w:val="left" w:leader="none" w:pos="284"/>
        </w:tabs>
        <w:spacing w:after="0" w:line="259" w:lineRule="auto"/>
        <w:ind w:left="283"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Talep edilmesi ve uygun bulunması halinde tezlerden ortaya çıkacak makalelerde ŞÛRA Akademi Kent Araştırmaları Dergisi’nde yayınlanacaktır.</w:t>
      </w:r>
    </w:p>
    <w:p w:rsidR="00000000" w:rsidDel="00000000" w:rsidP="00000000" w:rsidRDefault="00000000" w:rsidRPr="00000000" w14:paraId="00000033">
      <w:pPr>
        <w:numPr>
          <w:ilvl w:val="0"/>
          <w:numId w:val="4"/>
        </w:numPr>
        <w:tabs>
          <w:tab w:val="left" w:leader="none" w:pos="284"/>
        </w:tabs>
        <w:spacing w:after="0" w:line="259" w:lineRule="auto"/>
        <w:ind w:left="283"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Araştırma makalesinin yayınlanması için kabul edilebilir benzerlik oranı üst sınır oranı %20’dir.</w:t>
      </w:r>
    </w:p>
    <w:p w:rsidR="00000000" w:rsidDel="00000000" w:rsidP="00000000" w:rsidRDefault="00000000" w:rsidRPr="00000000" w14:paraId="00000034">
      <w:pPr>
        <w:numPr>
          <w:ilvl w:val="0"/>
          <w:numId w:val="4"/>
        </w:numPr>
        <w:tabs>
          <w:tab w:val="left" w:leader="none" w:pos="284"/>
        </w:tabs>
        <w:spacing w:after="0" w:line="259" w:lineRule="auto"/>
        <w:ind w:left="283" w:hanging="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Araştırmacılar, tezini sonuçlandırma sürecinde bağlı oldukları üniversitenin lisansüstü eğitim öğretim yönetmeliğine karşı sorumludur. </w:t>
      </w:r>
    </w:p>
    <w:p w:rsidR="00000000" w:rsidDel="00000000" w:rsidP="00000000" w:rsidRDefault="00000000" w:rsidRPr="00000000" w14:paraId="00000035">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numPr>
          <w:ilvl w:val="0"/>
          <w:numId w:val="1"/>
        </w:numPr>
        <w:spacing w:after="0" w:line="259" w:lineRule="auto"/>
        <w:ind w:left="0"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DESTEK MİKTARI VE ÖDEME ŞEKLİ</w:t>
      </w:r>
    </w:p>
    <w:p w:rsidR="00000000" w:rsidDel="00000000" w:rsidP="00000000" w:rsidRDefault="00000000" w:rsidRPr="00000000" w14:paraId="0000003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Kocaeli Kent Konseyi tarafından yürütülecek Lisansüstü Araştırma Destek Programı ile 10 adet doktora tezi, 20 adet yüksek lisans tezi ve 30 adet araştırma makale çalışmasını desteklenecektir. Destek miktarı her bir doktora tezi için 100.000 ₺, her bir yüksek lisans tezi için 50.000 ₺ , her bir makale çalışması için 30.000 ₺ olarak belirlenmiştir. Araştırma makalesi destek ödemesi bir parça, yüksek lisans tezi destek ödemesi iki parça, doktora tezi ödemesi üç parça halinde yapılır (Toplam Destek Miktarı: 2.900.000 ₺).</w:t>
      </w:r>
    </w:p>
    <w:p w:rsidR="00000000" w:rsidDel="00000000" w:rsidP="00000000" w:rsidRDefault="00000000" w:rsidRPr="00000000" w14:paraId="00000038">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9062.0" w:type="dxa"/>
        <w:jc w:val="left"/>
        <w:tblLayout w:type="fixed"/>
        <w:tblLook w:val="04A0"/>
      </w:tblPr>
      <w:tblGrid>
        <w:gridCol w:w="2410"/>
        <w:gridCol w:w="2299"/>
        <w:gridCol w:w="2308"/>
        <w:gridCol w:w="2045"/>
        <w:tblGridChange w:id="0">
          <w:tblGrid>
            <w:gridCol w:w="2410"/>
            <w:gridCol w:w="2299"/>
            <w:gridCol w:w="2308"/>
            <w:gridCol w:w="2045"/>
          </w:tblGrid>
        </w:tblGridChange>
      </w:tblGrid>
      <w:tr>
        <w:trPr>
          <w:cantSplit w:val="0"/>
          <w:trHeight w:val="294" w:hRule="atLeast"/>
          <w:tblHeader w:val="0"/>
        </w:trPr>
        <w:tc>
          <w:tcPr/>
          <w:p w:rsidR="00000000" w:rsidDel="00000000" w:rsidP="00000000" w:rsidRDefault="00000000" w:rsidRPr="00000000" w14:paraId="0000003A">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Başvuru Türü</w:t>
            </w:r>
          </w:p>
        </w:tc>
        <w:tc>
          <w:tcPr>
            <w:gridSpan w:val="3"/>
          </w:tcPr>
          <w:p w:rsidR="00000000" w:rsidDel="00000000" w:rsidP="00000000" w:rsidRDefault="00000000" w:rsidRPr="00000000" w14:paraId="0000003B">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Dönemler</w:t>
            </w:r>
          </w:p>
        </w:tc>
      </w:tr>
      <w:tr>
        <w:trPr>
          <w:cantSplit w:val="0"/>
          <w:trHeight w:val="294" w:hRule="atLeast"/>
          <w:tblHeader w:val="0"/>
        </w:trPr>
        <w:tc>
          <w:tcPr/>
          <w:p w:rsidR="00000000" w:rsidDel="00000000" w:rsidP="00000000" w:rsidRDefault="00000000" w:rsidRPr="00000000" w14:paraId="0000003E">
            <w:pPr>
              <w:spacing w:after="12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F">
            <w:pPr>
              <w:spacing w:after="12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Haziran 2026</w:t>
            </w:r>
          </w:p>
        </w:tc>
        <w:tc>
          <w:tcPr/>
          <w:p w:rsidR="00000000" w:rsidDel="00000000" w:rsidP="00000000" w:rsidRDefault="00000000" w:rsidRPr="00000000" w14:paraId="00000040">
            <w:pPr>
              <w:spacing w:after="12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Haziran 2027</w:t>
            </w:r>
          </w:p>
        </w:tc>
        <w:tc>
          <w:tcPr/>
          <w:p w:rsidR="00000000" w:rsidDel="00000000" w:rsidP="00000000" w:rsidRDefault="00000000" w:rsidRPr="00000000" w14:paraId="00000041">
            <w:pPr>
              <w:spacing w:after="12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Aralık 2028</w:t>
            </w:r>
          </w:p>
        </w:tc>
      </w:tr>
      <w:tr>
        <w:trPr>
          <w:cantSplit w:val="0"/>
          <w:tblHeader w:val="0"/>
        </w:trPr>
        <w:tc>
          <w:tcPr/>
          <w:p w:rsidR="00000000" w:rsidDel="00000000" w:rsidP="00000000" w:rsidRDefault="00000000" w:rsidRPr="00000000" w14:paraId="00000042">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Doktora tezi</w:t>
            </w:r>
          </w:p>
        </w:tc>
        <w:tc>
          <w:tcPr/>
          <w:p w:rsidR="00000000" w:rsidDel="00000000" w:rsidP="00000000" w:rsidRDefault="00000000" w:rsidRPr="00000000" w14:paraId="00000043">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60.000₺</w:t>
            </w:r>
          </w:p>
        </w:tc>
        <w:tc>
          <w:tcPr/>
          <w:p w:rsidR="00000000" w:rsidDel="00000000" w:rsidP="00000000" w:rsidRDefault="00000000" w:rsidRPr="00000000" w14:paraId="00000044">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30.000₺</w:t>
            </w:r>
          </w:p>
        </w:tc>
        <w:tc>
          <w:tcPr/>
          <w:p w:rsidR="00000000" w:rsidDel="00000000" w:rsidP="00000000" w:rsidRDefault="00000000" w:rsidRPr="00000000" w14:paraId="00000045">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r>
        <w:trPr>
          <w:cantSplit w:val="0"/>
          <w:tblHeader w:val="0"/>
        </w:trPr>
        <w:tc>
          <w:tcPr/>
          <w:p w:rsidR="00000000" w:rsidDel="00000000" w:rsidP="00000000" w:rsidRDefault="00000000" w:rsidRPr="00000000" w14:paraId="00000046">
            <w:pPr>
              <w:spacing w:after="12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7">
            <w:pPr>
              <w:spacing w:after="12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Haziran 2026</w:t>
            </w:r>
          </w:p>
        </w:tc>
        <w:tc>
          <w:tcPr/>
          <w:p w:rsidR="00000000" w:rsidDel="00000000" w:rsidP="00000000" w:rsidRDefault="00000000" w:rsidRPr="00000000" w14:paraId="00000048">
            <w:pPr>
              <w:spacing w:after="12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Aralık 2026</w:t>
            </w:r>
          </w:p>
        </w:tc>
        <w:tc>
          <w:tcPr/>
          <w:p w:rsidR="00000000" w:rsidDel="00000000" w:rsidP="00000000" w:rsidRDefault="00000000" w:rsidRPr="00000000" w14:paraId="00000049">
            <w:pPr>
              <w:spacing w:after="12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A">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Yüksek lisans tezi</w:t>
            </w:r>
          </w:p>
        </w:tc>
        <w:tc>
          <w:tcPr/>
          <w:p w:rsidR="00000000" w:rsidDel="00000000" w:rsidP="00000000" w:rsidRDefault="00000000" w:rsidRPr="00000000" w14:paraId="0000004B">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40.000₺</w:t>
            </w:r>
          </w:p>
        </w:tc>
        <w:tc>
          <w:tcPr/>
          <w:p w:rsidR="00000000" w:rsidDel="00000000" w:rsidP="00000000" w:rsidRDefault="00000000" w:rsidRPr="00000000" w14:paraId="0000004C">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c>
          <w:tcPr/>
          <w:p w:rsidR="00000000" w:rsidDel="00000000" w:rsidP="00000000" w:rsidRDefault="00000000" w:rsidRPr="00000000" w14:paraId="0000004D">
            <w:pPr>
              <w:spacing w:after="12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E">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Araştırma makalesi </w:t>
            </w:r>
          </w:p>
        </w:tc>
        <w:tc>
          <w:tcPr/>
          <w:p w:rsidR="00000000" w:rsidDel="00000000" w:rsidP="00000000" w:rsidRDefault="00000000" w:rsidRPr="00000000" w14:paraId="0000004F">
            <w:pP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30.000₺</w:t>
            </w:r>
          </w:p>
        </w:tc>
        <w:tc>
          <w:tcPr/>
          <w:p w:rsidR="00000000" w:rsidDel="00000000" w:rsidP="00000000" w:rsidRDefault="00000000" w:rsidRPr="00000000" w14:paraId="00000050">
            <w:pPr>
              <w:spacing w:after="12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2">
      <w:pPr>
        <w:spacing w:after="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numPr>
          <w:ilvl w:val="0"/>
          <w:numId w:val="1"/>
        </w:numPr>
        <w:spacing w:after="0" w:line="259" w:lineRule="auto"/>
        <w:ind w:left="143"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TEZ VE MAKALE DESTEĞİNİN İPTALİ</w:t>
      </w:r>
    </w:p>
    <w:p w:rsidR="00000000" w:rsidDel="00000000" w:rsidP="00000000" w:rsidRDefault="00000000" w:rsidRPr="00000000" w14:paraId="00000054">
      <w:pPr>
        <w:numPr>
          <w:ilvl w:val="0"/>
          <w:numId w:val="5"/>
        </w:numPr>
        <w:tabs>
          <w:tab w:val="left" w:leader="none" w:pos="567"/>
        </w:tabs>
        <w:spacing w:after="0" w:line="259" w:lineRule="auto"/>
        <w:ind w:left="0"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Araştırmacının, sözleşmede taahhüt ettiği alanda tezi ve makaleyi yazmaması durumunda,</w:t>
      </w:r>
    </w:p>
    <w:p w:rsidR="00000000" w:rsidDel="00000000" w:rsidP="00000000" w:rsidRDefault="00000000" w:rsidRPr="00000000" w14:paraId="00000055">
      <w:pPr>
        <w:numPr>
          <w:ilvl w:val="0"/>
          <w:numId w:val="5"/>
        </w:numPr>
        <w:tabs>
          <w:tab w:val="left" w:leader="none" w:pos="567"/>
        </w:tabs>
        <w:spacing w:after="0" w:line="259" w:lineRule="auto"/>
        <w:ind w:left="0"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Lisansüstü öğrenim gördüğü kurum ile ilişiğinin kesilmesi ve öğrenciliğinin bitmesi halinde, tez desteği iptal edilir.</w:t>
      </w:r>
    </w:p>
    <w:p w:rsidR="00000000" w:rsidDel="00000000" w:rsidP="00000000" w:rsidRDefault="00000000" w:rsidRPr="00000000" w14:paraId="00000056">
      <w:pPr>
        <w:numPr>
          <w:ilvl w:val="0"/>
          <w:numId w:val="5"/>
        </w:numPr>
        <w:tabs>
          <w:tab w:val="left" w:leader="none" w:pos="284"/>
        </w:tabs>
        <w:spacing w:after="0" w:line="259" w:lineRule="auto"/>
        <w:ind w:left="0"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Araştırma makalesi desteği alan Araştırmacı ve/veya Akademik Personel, makale çalışmasını tamamlamaması durumunda araştırma makalesi desteği iptal edilir</w:t>
      </w:r>
    </w:p>
    <w:p w:rsidR="00000000" w:rsidDel="00000000" w:rsidP="00000000" w:rsidRDefault="00000000" w:rsidRPr="00000000" w14:paraId="00000057">
      <w:pPr>
        <w:tabs>
          <w:tab w:val="left" w:leader="none" w:pos="284"/>
        </w:tabs>
        <w:spacing w:after="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tabs>
          <w:tab w:val="left" w:leader="none" w:pos="284"/>
        </w:tabs>
        <w:spacing w:after="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numPr>
          <w:ilvl w:val="0"/>
          <w:numId w:val="1"/>
        </w:numPr>
        <w:spacing w:after="0" w:line="259" w:lineRule="auto"/>
        <w:ind w:lef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TAKVİMİ</w:t>
      </w:r>
    </w:p>
    <w:p w:rsidR="00000000" w:rsidDel="00000000" w:rsidP="00000000" w:rsidRDefault="00000000" w:rsidRPr="00000000" w14:paraId="0000005A">
      <w:pPr>
        <w:spacing w:after="120" w:line="259"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9062.0" w:type="dxa"/>
        <w:jc w:val="left"/>
        <w:tblLayout w:type="fixed"/>
        <w:tblLook w:val="04A0"/>
      </w:tblPr>
      <w:tblGrid>
        <w:gridCol w:w="4531"/>
        <w:gridCol w:w="4531"/>
        <w:tblGridChange w:id="0">
          <w:tblGrid>
            <w:gridCol w:w="4531"/>
            <w:gridCol w:w="4531"/>
          </w:tblGrid>
        </w:tblGridChange>
      </w:tblGrid>
      <w:tr>
        <w:trPr>
          <w:cantSplit w:val="0"/>
          <w:tblHeader w:val="0"/>
        </w:trPr>
        <w:tc>
          <w:tcPr/>
          <w:p w:rsidR="00000000" w:rsidDel="00000000" w:rsidP="00000000" w:rsidRDefault="00000000" w:rsidRPr="00000000" w14:paraId="0000005B">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 Tanımı</w:t>
            </w:r>
          </w:p>
        </w:tc>
        <w:tc>
          <w:tcPr/>
          <w:p w:rsidR="00000000" w:rsidDel="00000000" w:rsidP="00000000" w:rsidRDefault="00000000" w:rsidRPr="00000000" w14:paraId="0000005C">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Tarih</w:t>
            </w:r>
          </w:p>
        </w:tc>
      </w:tr>
      <w:tr>
        <w:trPr>
          <w:cantSplit w:val="0"/>
          <w:tblHeader w:val="0"/>
        </w:trPr>
        <w:tc>
          <w:tcPr/>
          <w:p w:rsidR="00000000" w:rsidDel="00000000" w:rsidP="00000000" w:rsidRDefault="00000000" w:rsidRPr="00000000" w14:paraId="0000005D">
            <w:pPr>
              <w:spacing w:after="12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Lisansüstü Araştırma Destek Programı duyurusu</w:t>
            </w:r>
          </w:p>
        </w:tc>
        <w:tc>
          <w:tcPr/>
          <w:p w:rsidR="00000000" w:rsidDel="00000000" w:rsidP="00000000" w:rsidRDefault="00000000" w:rsidRPr="00000000" w14:paraId="0000005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Ekim 2025</w:t>
            </w:r>
          </w:p>
          <w:p w:rsidR="00000000" w:rsidDel="00000000" w:rsidP="00000000" w:rsidRDefault="00000000" w:rsidRPr="00000000" w14:paraId="0000005F">
            <w:pPr>
              <w:spacing w:after="120" w:lineRule="auto"/>
              <w:ind w:left="610" w:hanging="61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0">
            <w:pPr>
              <w:spacing w:after="12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Programa başvuruların alınması</w:t>
            </w:r>
          </w:p>
        </w:tc>
        <w:tc>
          <w:tcPr/>
          <w:p w:rsidR="00000000" w:rsidDel="00000000" w:rsidP="00000000" w:rsidRDefault="00000000" w:rsidRPr="00000000" w14:paraId="0000006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Ekim 2025 –14 Kasım 2025</w:t>
            </w:r>
          </w:p>
          <w:p w:rsidR="00000000" w:rsidDel="00000000" w:rsidP="00000000" w:rsidRDefault="00000000" w:rsidRPr="00000000" w14:paraId="00000062">
            <w:pPr>
              <w:spacing w:after="12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3">
            <w:pPr>
              <w:spacing w:after="12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ŞÛRA Kent Politikaları ve Araştırmaları Merkezi tarafından tez/araştırma makalesi başvurularının ön değerlendirilmesi </w:t>
            </w:r>
          </w:p>
        </w:tc>
        <w:tc>
          <w:tcPr/>
          <w:p w:rsidR="00000000" w:rsidDel="00000000" w:rsidP="00000000" w:rsidRDefault="00000000" w:rsidRPr="00000000" w14:paraId="0000006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Kasım2025 –19 Kasım 2025</w:t>
            </w:r>
          </w:p>
          <w:p w:rsidR="00000000" w:rsidDel="00000000" w:rsidP="00000000" w:rsidRDefault="00000000" w:rsidRPr="00000000" w14:paraId="00000065">
            <w:pPr>
              <w:spacing w:after="12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6">
            <w:pPr>
              <w:spacing w:after="12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Değerlendirme Kurulu tarafından tez/araştırma makalesi başvurularının değerlendirilmesi</w:t>
            </w:r>
          </w:p>
        </w:tc>
        <w:tc>
          <w:tcPr/>
          <w:p w:rsidR="00000000" w:rsidDel="00000000" w:rsidP="00000000" w:rsidRDefault="00000000" w:rsidRPr="00000000" w14:paraId="0000006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Kasım 2025 –5 Aralık 2025</w:t>
            </w:r>
          </w:p>
          <w:p w:rsidR="00000000" w:rsidDel="00000000" w:rsidP="00000000" w:rsidRDefault="00000000" w:rsidRPr="00000000" w14:paraId="00000068">
            <w:pPr>
              <w:spacing w:after="12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9">
            <w:pPr>
              <w:spacing w:after="12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Sonuçların ilanı</w:t>
            </w:r>
          </w:p>
        </w:tc>
        <w:tc>
          <w:tcPr/>
          <w:p w:rsidR="00000000" w:rsidDel="00000000" w:rsidP="00000000" w:rsidRDefault="00000000" w:rsidRPr="00000000" w14:paraId="0000006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Aralık 2025</w:t>
            </w:r>
          </w:p>
          <w:p w:rsidR="00000000" w:rsidDel="00000000" w:rsidP="00000000" w:rsidRDefault="00000000" w:rsidRPr="00000000" w14:paraId="0000006B">
            <w:pPr>
              <w:spacing w:after="12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C">
            <w:pPr>
              <w:spacing w:after="120" w:lineRule="auto"/>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Sözleşmenin İmzalanması</w:t>
            </w:r>
          </w:p>
        </w:tc>
        <w:tc>
          <w:tcPr/>
          <w:p w:rsidR="00000000" w:rsidDel="00000000" w:rsidP="00000000" w:rsidRDefault="00000000" w:rsidRPr="00000000" w14:paraId="0000006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Aralık 2025</w:t>
            </w:r>
          </w:p>
          <w:p w:rsidR="00000000" w:rsidDel="00000000" w:rsidP="00000000" w:rsidRDefault="00000000" w:rsidRPr="00000000" w14:paraId="0000006E">
            <w:pPr>
              <w:spacing w:after="12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F">
      <w:pPr>
        <w:spacing w:after="120" w:lineRule="auto"/>
        <w:ind w:hanging="28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120" w:lineRule="auto"/>
        <w:ind w:hanging="28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rPr>
      </w:pPr>
      <w:r w:rsidDel="00000000" w:rsidR="00000000" w:rsidRPr="00000000">
        <w:rPr>
          <w:rtl w:val="0"/>
        </w:rPr>
      </w:r>
    </w:p>
    <w:sectPr>
      <w:type w:val="continuous"/>
      <w:pgSz w:h="16838" w:w="11906" w:orient="portrait"/>
      <w:pgMar w:bottom="1417" w:top="1417" w:left="1417" w:right="1417"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7"/>
      <w:numFmt w:val="decimal"/>
      <w:lvlText w:val="%1."/>
      <w:lvlJc w:val="left"/>
      <w:pPr>
        <w:ind w:left="928" w:hanging="360"/>
      </w:pPr>
      <w:rPr/>
    </w:lvl>
    <w:lvl w:ilvl="1">
      <w:start w:val="1"/>
      <w:numFmt w:val="lowerLetter"/>
      <w:lvlText w:val="%2."/>
      <w:lvlJc w:val="left"/>
      <w:pPr>
        <w:ind w:left="502"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kentbilimportal.kocaeli.bel.tr/" TargetMode="External"/><Relationship Id="rId10" Type="http://schemas.openxmlformats.org/officeDocument/2006/relationships/hyperlink" Target="https://kentbilimportal.kocaeli.bel.tr/" TargetMode="External"/><Relationship Id="rId12" Type="http://schemas.openxmlformats.org/officeDocument/2006/relationships/hyperlink" Target="mailto:kocaelikentkonseyi41@gmail.com" TargetMode="Externa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